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无锡出发日本本州经典温泉六日体验游S257301315297960行程单</w:t>
      </w:r>
    </w:p>
    <w:p>
      <w:pPr>
        <w:jc w:val="center"/>
        <w:spacing w:after="100"/>
      </w:pPr>
      <w:r>
        <w:rPr>
          <w:rFonts w:ascii="微软雅黑" w:hAnsi="微软雅黑" w:eastAsia="微软雅黑" w:cs="微软雅黑"/>
          <w:sz w:val="20"/>
          <w:szCs w:val="20"/>
        </w:rPr>
        <w:t xml:space="preserve">餐餐全含 含签证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L18126P429744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2025-08-03T02:20:20+08:00</dcterms:created>
  <dcterms:modified xsi:type="dcterms:W3CDTF">2025-08-03T02:20:20+08:00</dcterms:modified>
</cp:coreProperties>
</file>

<file path=docProps/custom.xml><?xml version="1.0" encoding="utf-8"?>
<Properties xmlns="http://schemas.openxmlformats.org/officeDocument/2006/custom-properties" xmlns:vt="http://schemas.openxmlformats.org/officeDocument/2006/docPropsVTypes"/>
</file>